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B" w:rsidRPr="00090485" w:rsidRDefault="00B7085B" w:rsidP="00B7085B">
      <w:pPr>
        <w:jc w:val="center"/>
        <w:rPr>
          <w:b/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Аналіз</w:t>
      </w:r>
    </w:p>
    <w:p w:rsidR="0018517D" w:rsidRDefault="00B7085B" w:rsidP="00090485">
      <w:pPr>
        <w:ind w:firstLine="540"/>
        <w:jc w:val="both"/>
        <w:rPr>
          <w:b/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 xml:space="preserve">регуляторного впливу проекту рішення  </w:t>
      </w:r>
      <w:r w:rsidR="00090485" w:rsidRPr="00090485">
        <w:rPr>
          <w:b/>
          <w:sz w:val="28"/>
          <w:szCs w:val="28"/>
          <w:lang w:val="uk-UA"/>
        </w:rPr>
        <w:t xml:space="preserve">селищної </w:t>
      </w:r>
      <w:r w:rsidRPr="00090485">
        <w:rPr>
          <w:b/>
          <w:sz w:val="28"/>
          <w:szCs w:val="28"/>
          <w:lang w:val="uk-UA"/>
        </w:rPr>
        <w:t>ради</w:t>
      </w:r>
    </w:p>
    <w:p w:rsidR="00090485" w:rsidRDefault="00090485" w:rsidP="0018517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Положення  про порядок залучення коштів замовників на розвиток інженерно-транспортної та соціальної інфраструктури  населених пунктів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</w:p>
    <w:p w:rsidR="00090485" w:rsidRDefault="00090485" w:rsidP="00090485">
      <w:pPr>
        <w:ind w:firstLine="540"/>
        <w:jc w:val="both"/>
        <w:rPr>
          <w:sz w:val="28"/>
          <w:szCs w:val="28"/>
          <w:lang w:val="uk-UA"/>
        </w:rPr>
      </w:pPr>
    </w:p>
    <w:p w:rsidR="00090485" w:rsidRDefault="00B7085B" w:rsidP="00090485">
      <w:pPr>
        <w:ind w:firstLine="540"/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Назва регуляторного акту: </w:t>
      </w:r>
      <w:r w:rsidR="00090485" w:rsidRPr="00090485">
        <w:rPr>
          <w:sz w:val="28"/>
          <w:szCs w:val="28"/>
          <w:lang w:val="uk-UA"/>
        </w:rPr>
        <w:t xml:space="preserve">«Про внесення змін до Положення  про порядок залучення коштів замовників на розвиток інженерно-транспортної та соціальної інфраструктури  населених пунктів </w:t>
      </w:r>
      <w:proofErr w:type="spellStart"/>
      <w:r w:rsidR="00090485" w:rsidRPr="00090485">
        <w:rPr>
          <w:sz w:val="28"/>
          <w:szCs w:val="28"/>
          <w:lang w:val="uk-UA"/>
        </w:rPr>
        <w:t>Срібнянської</w:t>
      </w:r>
      <w:proofErr w:type="spellEnd"/>
      <w:r w:rsidR="00090485" w:rsidRPr="00090485">
        <w:rPr>
          <w:sz w:val="28"/>
          <w:szCs w:val="28"/>
          <w:lang w:val="uk-UA"/>
        </w:rPr>
        <w:t xml:space="preserve"> селищної ради»</w:t>
      </w:r>
    </w:p>
    <w:p w:rsidR="00B7085B" w:rsidRPr="00090485" w:rsidRDefault="00090485" w:rsidP="00090485">
      <w:pPr>
        <w:tabs>
          <w:tab w:val="left" w:pos="1815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085B" w:rsidRPr="00090485">
        <w:rPr>
          <w:sz w:val="28"/>
          <w:szCs w:val="28"/>
          <w:lang w:val="uk-UA"/>
        </w:rPr>
        <w:t xml:space="preserve">Регуляторний орган: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 рада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18517D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085B" w:rsidRPr="00090485">
        <w:rPr>
          <w:sz w:val="28"/>
          <w:szCs w:val="28"/>
          <w:lang w:val="uk-UA"/>
        </w:rPr>
        <w:t xml:space="preserve">Розробник документу: виконавчий </w:t>
      </w:r>
      <w:r w:rsidR="00090485">
        <w:rPr>
          <w:sz w:val="28"/>
          <w:szCs w:val="28"/>
          <w:lang w:val="uk-UA"/>
        </w:rPr>
        <w:t>комітет селищної ради</w:t>
      </w:r>
    </w:p>
    <w:p w:rsidR="00B7085B" w:rsidRPr="00090485" w:rsidRDefault="00B7085B" w:rsidP="004108CE">
      <w:pPr>
        <w:ind w:firstLine="540"/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Цей аналіз регуляторного впливу проекту рішення </w:t>
      </w:r>
      <w:proofErr w:type="spellStart"/>
      <w:r w:rsidR="004108CE" w:rsidRPr="00090485">
        <w:rPr>
          <w:sz w:val="28"/>
          <w:szCs w:val="28"/>
          <w:lang w:val="uk-UA"/>
        </w:rPr>
        <w:t>Срібнянської</w:t>
      </w:r>
      <w:proofErr w:type="spellEnd"/>
      <w:r w:rsidR="004108CE" w:rsidRPr="00090485">
        <w:rPr>
          <w:sz w:val="28"/>
          <w:szCs w:val="28"/>
          <w:lang w:val="uk-UA"/>
        </w:rPr>
        <w:t xml:space="preserve"> селищної ради </w:t>
      </w:r>
      <w:r w:rsidRPr="00090485">
        <w:rPr>
          <w:sz w:val="28"/>
          <w:szCs w:val="28"/>
          <w:lang w:val="uk-UA"/>
        </w:rPr>
        <w:t xml:space="preserve"> </w:t>
      </w:r>
      <w:r w:rsidR="00E613C1">
        <w:rPr>
          <w:sz w:val="28"/>
          <w:szCs w:val="28"/>
          <w:lang w:val="uk-UA"/>
        </w:rPr>
        <w:t>«</w:t>
      </w:r>
      <w:r w:rsidR="004108CE" w:rsidRPr="00090485">
        <w:rPr>
          <w:sz w:val="28"/>
          <w:szCs w:val="28"/>
          <w:lang w:val="uk-UA"/>
        </w:rPr>
        <w:t xml:space="preserve">Про внесення змін до Положення  про порядок залучення коштів замовників на розвиток інженерно-транспортної та соціальної інфраструктури  населених пунктів </w:t>
      </w:r>
      <w:proofErr w:type="spellStart"/>
      <w:r w:rsidR="004108CE" w:rsidRPr="00090485">
        <w:rPr>
          <w:sz w:val="28"/>
          <w:szCs w:val="28"/>
          <w:lang w:val="uk-UA"/>
        </w:rPr>
        <w:t>Срібнянської</w:t>
      </w:r>
      <w:proofErr w:type="spellEnd"/>
      <w:r w:rsidR="004108CE" w:rsidRPr="00090485">
        <w:rPr>
          <w:sz w:val="28"/>
          <w:szCs w:val="28"/>
          <w:lang w:val="uk-UA"/>
        </w:rPr>
        <w:t xml:space="preserve"> селищної ради»</w:t>
      </w:r>
      <w:r w:rsidRPr="00090485">
        <w:rPr>
          <w:sz w:val="28"/>
          <w:szCs w:val="28"/>
          <w:lang w:val="uk-UA"/>
        </w:rPr>
        <w:t>, підготовлений відповідно до вимог Закону України «Про засади державної регуляторної політики у сфері господарської діяльності» від 11 вересня 2003 року № 1160 – VI, зі змінами та доповненнями, Методики проведення аналізу впливу регуляторного акту, затвердженої постановою Кабінету Міністрів України від 11.03.2004 р. № 308, з метою одержання зауважень та пропозицій по вищевказаному проекту від зацікавлених осіб.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b/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1.Визначення проблеми</w:t>
      </w:r>
    </w:p>
    <w:p w:rsidR="00B7085B" w:rsidRPr="00090485" w:rsidRDefault="004108CE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7085B" w:rsidRPr="00090485">
        <w:rPr>
          <w:sz w:val="28"/>
          <w:szCs w:val="28"/>
          <w:lang w:val="uk-UA"/>
        </w:rPr>
        <w:t>Розвиток інженерно-транспортної і соціальної інфраструктури с</w:t>
      </w:r>
      <w:r>
        <w:rPr>
          <w:sz w:val="28"/>
          <w:szCs w:val="28"/>
          <w:lang w:val="uk-UA"/>
        </w:rPr>
        <w:t xml:space="preserve">елищної </w:t>
      </w:r>
      <w:r w:rsidR="00B7085B" w:rsidRPr="00090485">
        <w:rPr>
          <w:sz w:val="28"/>
          <w:szCs w:val="28"/>
          <w:lang w:val="uk-UA"/>
        </w:rPr>
        <w:t>ради вимагає комплексного рішення багатьох проблем</w:t>
      </w:r>
      <w:r w:rsidR="00E613C1">
        <w:rPr>
          <w:sz w:val="28"/>
          <w:szCs w:val="28"/>
          <w:lang w:val="uk-UA"/>
        </w:rPr>
        <w:t>,</w:t>
      </w:r>
      <w:r w:rsidR="00B7085B" w:rsidRPr="00090485">
        <w:rPr>
          <w:sz w:val="28"/>
          <w:szCs w:val="28"/>
          <w:lang w:val="uk-UA"/>
        </w:rPr>
        <w:t xml:space="preserve"> пов’язаних з поліпшенням її технічного стану та подальшим оновленням. Будівництво (реконструкція) об’єктів соціально-культурної сфери і житлово-комунального господарства, проведення робіт з благоустрою, фінансується за рахунок коштів бюджету с</w:t>
      </w:r>
      <w:r>
        <w:rPr>
          <w:sz w:val="28"/>
          <w:szCs w:val="28"/>
          <w:lang w:val="uk-UA"/>
        </w:rPr>
        <w:t xml:space="preserve">елищної </w:t>
      </w:r>
      <w:r w:rsidR="00B7085B" w:rsidRPr="00090485">
        <w:rPr>
          <w:sz w:val="28"/>
          <w:szCs w:val="28"/>
          <w:lang w:val="uk-UA"/>
        </w:rPr>
        <w:t xml:space="preserve">ради. Пайові внески замовників за право реалізувати проект будівництва на території </w:t>
      </w:r>
      <w:r>
        <w:rPr>
          <w:sz w:val="28"/>
          <w:szCs w:val="28"/>
          <w:lang w:val="uk-UA"/>
        </w:rPr>
        <w:t xml:space="preserve">населених пунктів селищної ради </w:t>
      </w:r>
      <w:r w:rsidR="00B7085B" w:rsidRPr="00090485">
        <w:rPr>
          <w:sz w:val="28"/>
          <w:szCs w:val="28"/>
          <w:lang w:val="uk-UA"/>
        </w:rPr>
        <w:t xml:space="preserve"> дають можливість зменшити витрати бюджету с</w:t>
      </w:r>
      <w:r>
        <w:rPr>
          <w:sz w:val="28"/>
          <w:szCs w:val="28"/>
          <w:lang w:val="uk-UA"/>
        </w:rPr>
        <w:t xml:space="preserve">елищної </w:t>
      </w:r>
      <w:r w:rsidR="00B7085B" w:rsidRPr="00090485">
        <w:rPr>
          <w:sz w:val="28"/>
          <w:szCs w:val="28"/>
          <w:lang w:val="uk-UA"/>
        </w:rPr>
        <w:t xml:space="preserve"> ради на відтворення інженерно-транспортної та соціальної інфраструктури, а також залучити замовників до благоустрою території </w:t>
      </w:r>
      <w:r>
        <w:rPr>
          <w:sz w:val="28"/>
          <w:szCs w:val="28"/>
          <w:lang w:val="uk-UA"/>
        </w:rPr>
        <w:t>населених пунктів</w:t>
      </w:r>
      <w:r w:rsidR="00B7085B" w:rsidRPr="00090485">
        <w:rPr>
          <w:sz w:val="28"/>
          <w:szCs w:val="28"/>
          <w:lang w:val="uk-UA"/>
        </w:rPr>
        <w:t>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2.Цілі державного регулювання</w:t>
      </w:r>
    </w:p>
    <w:p w:rsidR="00B7085B" w:rsidRPr="00090485" w:rsidRDefault="00625BF0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085B" w:rsidRPr="00090485">
        <w:rPr>
          <w:sz w:val="28"/>
          <w:szCs w:val="28"/>
          <w:lang w:val="uk-UA"/>
        </w:rPr>
        <w:t>Метою цього регулювання є реалізація державної політики у сфері регулювання містобудівної діяльності.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Основними цілями державного регулювання є:</w:t>
      </w:r>
      <w:bookmarkStart w:id="0" w:name="_GoBack"/>
      <w:bookmarkEnd w:id="0"/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 - забезпечення прозорості та гласності в процесі залучення замовників до пайової участі в розвитку інженерно-транспортної та соціальної інфраструктури </w:t>
      </w:r>
      <w:r w:rsidR="00625BF0">
        <w:rPr>
          <w:sz w:val="28"/>
          <w:szCs w:val="28"/>
          <w:lang w:val="uk-UA"/>
        </w:rPr>
        <w:t>населених пунктів</w:t>
      </w:r>
      <w:r w:rsidRPr="00090485">
        <w:rPr>
          <w:sz w:val="28"/>
          <w:szCs w:val="28"/>
          <w:lang w:val="uk-UA"/>
        </w:rPr>
        <w:t>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- врегулювання взаємовідносин с</w:t>
      </w:r>
      <w:r w:rsidR="00625BF0">
        <w:rPr>
          <w:sz w:val="28"/>
          <w:szCs w:val="28"/>
          <w:lang w:val="uk-UA"/>
        </w:rPr>
        <w:t xml:space="preserve">елищної </w:t>
      </w:r>
      <w:r w:rsidRPr="00090485">
        <w:rPr>
          <w:sz w:val="28"/>
          <w:szCs w:val="28"/>
          <w:lang w:val="uk-UA"/>
        </w:rPr>
        <w:t xml:space="preserve">ради з замовниками будівництва (реконструкції) шляхом укладання договорів, що передбачають диференціацію </w:t>
      </w:r>
      <w:r w:rsidRPr="00090485">
        <w:rPr>
          <w:sz w:val="28"/>
          <w:szCs w:val="28"/>
          <w:lang w:val="uk-UA"/>
        </w:rPr>
        <w:lastRenderedPageBreak/>
        <w:t>відрахувань виходячи з вартості будівництва (реконструкції) об’єктів, категорій об’єктів будівництва (реконструкції);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- збільшення обсягу надходжень в </w:t>
      </w:r>
      <w:r w:rsidR="00625BF0">
        <w:rPr>
          <w:sz w:val="28"/>
          <w:szCs w:val="28"/>
          <w:lang w:val="uk-UA"/>
        </w:rPr>
        <w:t>селищний</w:t>
      </w:r>
      <w:r w:rsidRPr="00090485">
        <w:rPr>
          <w:sz w:val="28"/>
          <w:szCs w:val="28"/>
          <w:lang w:val="uk-UA"/>
        </w:rPr>
        <w:t xml:space="preserve"> бюджет від замовників на економічний та соціальний розвиток с</w:t>
      </w:r>
      <w:r w:rsidR="00625BF0">
        <w:rPr>
          <w:sz w:val="28"/>
          <w:szCs w:val="28"/>
          <w:lang w:val="uk-UA"/>
        </w:rPr>
        <w:t>елищної ради</w:t>
      </w:r>
      <w:r w:rsidRPr="00090485">
        <w:rPr>
          <w:sz w:val="28"/>
          <w:szCs w:val="28"/>
          <w:lang w:val="uk-UA"/>
        </w:rPr>
        <w:t>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- здійснення контролю за своєчасністю та повнотою надходжень внесків на розвиток;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- сприяння розвитку інженерно–транспортно</w:t>
      </w:r>
      <w:r w:rsidR="00625BF0">
        <w:rPr>
          <w:sz w:val="28"/>
          <w:szCs w:val="28"/>
          <w:lang w:val="uk-UA"/>
        </w:rPr>
        <w:t xml:space="preserve">ї та соціальної інфраструктури населених пунктів селищної ради </w:t>
      </w:r>
      <w:r w:rsidRPr="00090485">
        <w:rPr>
          <w:sz w:val="28"/>
          <w:szCs w:val="28"/>
          <w:lang w:val="uk-UA"/>
        </w:rPr>
        <w:t xml:space="preserve"> та </w:t>
      </w:r>
      <w:r w:rsidR="00625BF0">
        <w:rPr>
          <w:sz w:val="28"/>
          <w:szCs w:val="28"/>
          <w:lang w:val="uk-UA"/>
        </w:rPr>
        <w:t>їх</w:t>
      </w:r>
      <w:r w:rsidRPr="00090485">
        <w:rPr>
          <w:sz w:val="28"/>
          <w:szCs w:val="28"/>
          <w:lang w:val="uk-UA"/>
        </w:rPr>
        <w:t xml:space="preserve"> благоустрою.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b/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3.Альтернативні способи досягнення встановлених цілей</w:t>
      </w:r>
    </w:p>
    <w:p w:rsidR="00B7085B" w:rsidRPr="00090485" w:rsidRDefault="00625BF0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085B" w:rsidRPr="00090485">
        <w:rPr>
          <w:sz w:val="28"/>
          <w:szCs w:val="28"/>
          <w:lang w:val="uk-UA"/>
        </w:rPr>
        <w:t xml:space="preserve">Запропоноване регулювання забезпечить диференційований порядок залучення коштів замовників будівництва для участі у розвитку соціальної інфраструктури </w:t>
      </w:r>
      <w:r>
        <w:rPr>
          <w:sz w:val="28"/>
          <w:szCs w:val="28"/>
          <w:lang w:val="uk-UA"/>
        </w:rPr>
        <w:t>населених пунктів</w:t>
      </w:r>
      <w:r w:rsidR="00B7085B" w:rsidRPr="00090485">
        <w:rPr>
          <w:sz w:val="28"/>
          <w:szCs w:val="28"/>
          <w:lang w:val="uk-UA"/>
        </w:rPr>
        <w:t xml:space="preserve"> із дотриманням вимог чинного законодавства. Виходячи із викладеного  таке регулювання вбачається оптимальним.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4.Механізми  розв</w:t>
      </w:r>
      <w:r w:rsidRPr="00090485">
        <w:rPr>
          <w:sz w:val="28"/>
          <w:szCs w:val="28"/>
          <w:lang w:val="uk-UA"/>
        </w:rPr>
        <w:t>’</w:t>
      </w:r>
      <w:r w:rsidRPr="00090485">
        <w:rPr>
          <w:b/>
          <w:sz w:val="28"/>
          <w:szCs w:val="28"/>
          <w:lang w:val="uk-UA"/>
        </w:rPr>
        <w:t>язання проблеми</w:t>
      </w:r>
    </w:p>
    <w:p w:rsidR="00B7085B" w:rsidRPr="00090485" w:rsidRDefault="00625BF0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085B" w:rsidRPr="00090485">
        <w:rPr>
          <w:sz w:val="28"/>
          <w:szCs w:val="28"/>
          <w:lang w:val="uk-UA"/>
        </w:rPr>
        <w:t>Механізмом досягнення цілей регулювання є: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- введення порядку залучення с</w:t>
      </w:r>
      <w:r w:rsidR="00625BF0">
        <w:rPr>
          <w:sz w:val="28"/>
          <w:szCs w:val="28"/>
          <w:lang w:val="uk-UA"/>
        </w:rPr>
        <w:t>елищною</w:t>
      </w:r>
      <w:r w:rsidRPr="00090485">
        <w:rPr>
          <w:sz w:val="28"/>
          <w:szCs w:val="28"/>
          <w:lang w:val="uk-UA"/>
        </w:rPr>
        <w:t xml:space="preserve"> радою коштів фізичних та юридичних осіб – замовників будівництва (реконструкції) на розвиток інженерно-транспортної та соціальної інфраструктури населен</w:t>
      </w:r>
      <w:r w:rsidR="00625BF0">
        <w:rPr>
          <w:sz w:val="28"/>
          <w:szCs w:val="28"/>
          <w:lang w:val="uk-UA"/>
        </w:rPr>
        <w:t xml:space="preserve">их </w:t>
      </w:r>
      <w:r w:rsidRPr="00090485">
        <w:rPr>
          <w:sz w:val="28"/>
          <w:szCs w:val="28"/>
          <w:lang w:val="uk-UA"/>
        </w:rPr>
        <w:t xml:space="preserve"> пункт</w:t>
      </w:r>
      <w:r w:rsidR="00625BF0">
        <w:rPr>
          <w:sz w:val="28"/>
          <w:szCs w:val="28"/>
          <w:lang w:val="uk-UA"/>
        </w:rPr>
        <w:t>ів</w:t>
      </w:r>
      <w:r w:rsidRPr="00090485">
        <w:rPr>
          <w:sz w:val="28"/>
          <w:szCs w:val="28"/>
          <w:lang w:val="uk-UA"/>
        </w:rPr>
        <w:t>, який буде відповідати вимогам чинного законодавства;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>- чітке визначення переліку замовників, що не будуть залучені до пайової участі у створен</w:t>
      </w:r>
      <w:r w:rsidR="00585BB8">
        <w:rPr>
          <w:sz w:val="28"/>
          <w:szCs w:val="28"/>
          <w:lang w:val="uk-UA"/>
        </w:rPr>
        <w:t>ні і розвитку інфраструктури населених пунктів</w:t>
      </w:r>
      <w:r w:rsidRPr="00090485">
        <w:rPr>
          <w:sz w:val="28"/>
          <w:szCs w:val="28"/>
          <w:lang w:val="uk-UA"/>
        </w:rPr>
        <w:t>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- застосування єдиного підходу при розрахунку розміру пайової участі, визначеного у встановленні розміру коштів замовників, що залучаються до розвитку інженерно-транспортної та соціальної інфраструктури </w:t>
      </w:r>
      <w:r w:rsidR="00585BB8">
        <w:rPr>
          <w:sz w:val="28"/>
          <w:szCs w:val="28"/>
          <w:lang w:val="uk-UA"/>
        </w:rPr>
        <w:t>населених пунктів</w:t>
      </w:r>
      <w:r w:rsidRPr="00090485">
        <w:rPr>
          <w:sz w:val="28"/>
          <w:szCs w:val="28"/>
          <w:lang w:val="uk-UA"/>
        </w:rPr>
        <w:t xml:space="preserve"> ради, в залежності від об’єкта будівництва (реконструкції);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  <w:r w:rsidRPr="00090485">
        <w:rPr>
          <w:sz w:val="28"/>
          <w:szCs w:val="28"/>
          <w:lang w:val="uk-UA"/>
        </w:rPr>
        <w:t xml:space="preserve">- чітке врегулювання прав та обов’язків сторін у рамках договорів про пайову участь забудовників у розвитку інфраструктури </w:t>
      </w:r>
      <w:r w:rsidR="00585BB8">
        <w:rPr>
          <w:sz w:val="28"/>
          <w:szCs w:val="28"/>
          <w:lang w:val="uk-UA"/>
        </w:rPr>
        <w:t>населених пунктів селищної ради</w:t>
      </w:r>
      <w:r w:rsidRPr="00090485">
        <w:rPr>
          <w:sz w:val="28"/>
          <w:szCs w:val="28"/>
          <w:lang w:val="uk-UA"/>
        </w:rPr>
        <w:t>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5.Обгрунтування можливості досягнення встановлених цілей у разі прийняття регуляторного акта</w:t>
      </w:r>
    </w:p>
    <w:p w:rsidR="00B7085B" w:rsidRPr="00090485" w:rsidRDefault="00124946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085B" w:rsidRPr="00090485">
        <w:rPr>
          <w:sz w:val="28"/>
          <w:szCs w:val="28"/>
          <w:lang w:val="uk-UA"/>
        </w:rPr>
        <w:t>Залучення замовників на будівництва (реконструкцію) до пайової участі у розвитку інфраструктури населен</w:t>
      </w:r>
      <w:r w:rsidR="0018517D">
        <w:rPr>
          <w:sz w:val="28"/>
          <w:szCs w:val="28"/>
          <w:lang w:val="uk-UA"/>
        </w:rPr>
        <w:t xml:space="preserve">их </w:t>
      </w:r>
      <w:r w:rsidR="00B7085B" w:rsidRPr="00090485">
        <w:rPr>
          <w:sz w:val="28"/>
          <w:szCs w:val="28"/>
          <w:lang w:val="uk-UA"/>
        </w:rPr>
        <w:t>пункт</w:t>
      </w:r>
      <w:r w:rsidR="0018517D">
        <w:rPr>
          <w:sz w:val="28"/>
          <w:szCs w:val="28"/>
          <w:lang w:val="uk-UA"/>
        </w:rPr>
        <w:t>ів</w:t>
      </w:r>
      <w:r w:rsidR="00B7085B" w:rsidRPr="00090485">
        <w:rPr>
          <w:sz w:val="28"/>
          <w:szCs w:val="28"/>
          <w:lang w:val="uk-UA"/>
        </w:rPr>
        <w:t xml:space="preserve"> ради дозволить створювати нові та проводити реконструкцію діючих об’єктів інфраструктури, а також буде сприяти рівномірному розвитку інфраструктури по всій території</w:t>
      </w:r>
      <w:r w:rsidR="0018517D">
        <w:rPr>
          <w:sz w:val="28"/>
          <w:szCs w:val="28"/>
          <w:lang w:val="uk-UA"/>
        </w:rPr>
        <w:t xml:space="preserve"> селищної ради</w:t>
      </w:r>
      <w:r w:rsidR="00B7085B" w:rsidRPr="00090485">
        <w:rPr>
          <w:sz w:val="28"/>
          <w:szCs w:val="28"/>
          <w:lang w:val="uk-UA"/>
        </w:rPr>
        <w:t>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18517D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B7085B" w:rsidRPr="00090485">
        <w:rPr>
          <w:sz w:val="28"/>
          <w:szCs w:val="28"/>
          <w:lang w:val="uk-UA"/>
        </w:rPr>
        <w:t>Крім того, запропоноване регулювання забезпечує прозорість дій органів місцевого самоврядування по встановленню чіткої процедури нарахування та сплати внеску на розвиток інженерно-транспортної та соці</w:t>
      </w:r>
      <w:r>
        <w:rPr>
          <w:sz w:val="28"/>
          <w:szCs w:val="28"/>
          <w:lang w:val="uk-UA"/>
        </w:rPr>
        <w:t>альної інфраструктури населених пунктів</w:t>
      </w:r>
      <w:r w:rsidR="00B7085B" w:rsidRPr="00090485">
        <w:rPr>
          <w:sz w:val="28"/>
          <w:szCs w:val="28"/>
          <w:lang w:val="uk-UA"/>
        </w:rPr>
        <w:t>.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center"/>
        <w:rPr>
          <w:b/>
          <w:sz w:val="28"/>
          <w:szCs w:val="28"/>
          <w:lang w:val="uk-UA"/>
        </w:rPr>
      </w:pPr>
      <w:r w:rsidRPr="00090485">
        <w:rPr>
          <w:b/>
          <w:sz w:val="28"/>
          <w:szCs w:val="28"/>
          <w:lang w:val="uk-UA"/>
        </w:rPr>
        <w:t>6.   Обґрунтування терміну дії рішення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18517D" w:rsidP="00B7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085B" w:rsidRPr="00090485">
        <w:rPr>
          <w:sz w:val="28"/>
          <w:szCs w:val="28"/>
          <w:lang w:val="uk-UA"/>
        </w:rPr>
        <w:t xml:space="preserve">Строк дії запропонованого акта встановлюється довгостроково, або до прийняття  нових нормативних-правових актів. </w:t>
      </w: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  <w:lang w:val="uk-UA"/>
        </w:rPr>
      </w:pPr>
    </w:p>
    <w:p w:rsidR="00B7085B" w:rsidRPr="00090485" w:rsidRDefault="00B7085B" w:rsidP="00B7085B">
      <w:pPr>
        <w:jc w:val="both"/>
        <w:rPr>
          <w:sz w:val="28"/>
          <w:szCs w:val="28"/>
        </w:rPr>
      </w:pPr>
    </w:p>
    <w:p w:rsidR="00B7085B" w:rsidRPr="00090485" w:rsidRDefault="00B7085B" w:rsidP="00B7085B">
      <w:pPr>
        <w:jc w:val="both"/>
        <w:rPr>
          <w:sz w:val="28"/>
          <w:szCs w:val="28"/>
        </w:rPr>
      </w:pPr>
    </w:p>
    <w:p w:rsidR="00B7085B" w:rsidRPr="00090485" w:rsidRDefault="00B7085B" w:rsidP="00B7085B">
      <w:pPr>
        <w:jc w:val="both"/>
        <w:rPr>
          <w:sz w:val="28"/>
          <w:szCs w:val="28"/>
        </w:rPr>
      </w:pPr>
    </w:p>
    <w:p w:rsidR="00B7085B" w:rsidRPr="00090485" w:rsidRDefault="00B7085B" w:rsidP="00B7085B">
      <w:pPr>
        <w:jc w:val="both"/>
        <w:rPr>
          <w:sz w:val="28"/>
          <w:szCs w:val="28"/>
        </w:rPr>
      </w:pPr>
    </w:p>
    <w:p w:rsidR="00B7085B" w:rsidRPr="00090485" w:rsidRDefault="00B7085B" w:rsidP="00B7085B">
      <w:pPr>
        <w:jc w:val="both"/>
        <w:rPr>
          <w:sz w:val="28"/>
          <w:szCs w:val="28"/>
        </w:rPr>
      </w:pPr>
    </w:p>
    <w:p w:rsidR="00077CA4" w:rsidRPr="00090485" w:rsidRDefault="00077CA4">
      <w:pPr>
        <w:rPr>
          <w:sz w:val="28"/>
          <w:szCs w:val="28"/>
        </w:rPr>
      </w:pPr>
    </w:p>
    <w:sectPr w:rsidR="00077CA4" w:rsidRPr="00090485" w:rsidSect="00077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85B"/>
    <w:rsid w:val="00077CA4"/>
    <w:rsid w:val="00090485"/>
    <w:rsid w:val="00124946"/>
    <w:rsid w:val="0018517D"/>
    <w:rsid w:val="004108CE"/>
    <w:rsid w:val="00585BB8"/>
    <w:rsid w:val="00625BF0"/>
    <w:rsid w:val="009C618B"/>
    <w:rsid w:val="00B7085B"/>
    <w:rsid w:val="00E613C1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3175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2018-07-10T09:10:00Z</cp:lastPrinted>
  <dcterms:created xsi:type="dcterms:W3CDTF">2018-07-10T08:26:00Z</dcterms:created>
  <dcterms:modified xsi:type="dcterms:W3CDTF">2018-07-19T12:01:00Z</dcterms:modified>
</cp:coreProperties>
</file>